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43.03.03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Гостиничное дело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43.03.03 «Гостиничное дело»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43.03.03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Гостиничное дело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43.03.03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Гостиничное дело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Гостиничное дело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364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269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9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608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9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417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591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Гостиничное дело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31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25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5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30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43.03.03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Гостиничное дело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«Гостиничное дело»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«Гостиничное дело»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22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91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83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«Гостиничное дело»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91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«Гостиничное дело»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Гостиничное дело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Гостиничное дело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Гостиничное дело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21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99%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94%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86%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76%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89%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96%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78%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84%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43.03.03</w:t>
      </w:r>
      <w:r w:rsidRPr="0005698A">
        <w:t xml:space="preserve"> «</w:t>
      </w:r>
      <w:r w:rsidR="00D01874" w:rsidRPr="0005698A">
        <w:rPr>
          <w:noProof/>
        </w:rPr>
        <w:t xml:space="preserve">Гостиничное дело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Гостиничное дело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Гостиничное дело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78%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91%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Гостиничное дело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Безопасность жизнедеятельности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86%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75%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43.03.03 «Гостиничное дело»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«Гостиничное дело»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 xml:space="preserve">и</w:t>
      </w:r>
      <w:r w:rsidRPr="0005698A">
        <w:rPr>
          <w:noProof/>
          <w:sz w:val="28"/>
          <w:szCs w:val="28"/>
          <w:lang w:val="en-US"/>
        </w:rPr>
        <w:t xml:space="preserve"> 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3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